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FC" w:rsidRPr="00EA21FC" w:rsidRDefault="00EA21FC" w:rsidP="00EA21F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A21F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-85725</wp:posOffset>
            </wp:positionV>
            <wp:extent cx="762000" cy="1057275"/>
            <wp:effectExtent l="19050" t="0" r="0" b="0"/>
            <wp:wrapNone/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A21FC">
        <w:rPr>
          <w:rFonts w:ascii="Arial" w:hAnsi="Arial" w:cs="Arial"/>
          <w:b/>
          <w:sz w:val="28"/>
          <w:szCs w:val="28"/>
          <w:u w:val="single"/>
        </w:rPr>
        <w:t>MUNICIPIUL MEDGIDIA</w:t>
      </w:r>
    </w:p>
    <w:p w:rsidR="00EA21FC" w:rsidRDefault="00EA21FC" w:rsidP="00EA21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FC">
        <w:rPr>
          <w:rFonts w:ascii="Arial" w:hAnsi="Arial" w:cs="Arial"/>
          <w:b/>
          <w:sz w:val="24"/>
          <w:szCs w:val="24"/>
        </w:rPr>
        <w:t>DIRECTA ECONOMOCA – SERVICIUL IMPOZITE SI TAXE LOCALE</w:t>
      </w:r>
    </w:p>
    <w:p w:rsidR="00EA21FC" w:rsidRDefault="00EA21FC" w:rsidP="00EA21FC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Decebal</w:t>
      </w:r>
      <w:proofErr w:type="spellEnd"/>
      <w:r>
        <w:rPr>
          <w:rFonts w:ascii="Arial" w:hAnsi="Arial" w:cs="Arial"/>
          <w:sz w:val="24"/>
          <w:szCs w:val="24"/>
        </w:rPr>
        <w:t xml:space="preserve">, nr.35, Medgidia 905600, Romania tel. 0241-812000, fax. </w:t>
      </w:r>
    </w:p>
    <w:p w:rsidR="00EA21FC" w:rsidRDefault="00EA21FC" w:rsidP="00EA21FC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fax: 0241-812000, e-mail: </w:t>
      </w:r>
      <w:hyperlink r:id="rId6" w:history="1">
        <w:r w:rsidRPr="00BC5B8B">
          <w:rPr>
            <w:rStyle w:val="Hyperlink"/>
            <w:rFonts w:ascii="Arial" w:hAnsi="Arial" w:cs="Arial"/>
            <w:sz w:val="24"/>
            <w:szCs w:val="24"/>
          </w:rPr>
          <w:t>office@primaria-medgidia.ro</w:t>
        </w:r>
      </w:hyperlink>
    </w:p>
    <w:p w:rsidR="00EA21FC" w:rsidRDefault="00EA21FC" w:rsidP="00EA21FC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hyperlink r:id="rId7" w:history="1">
        <w:r w:rsidRPr="00BC5B8B">
          <w:rPr>
            <w:rStyle w:val="Hyperlink"/>
            <w:rFonts w:ascii="Arial" w:hAnsi="Arial" w:cs="Arial"/>
            <w:sz w:val="24"/>
            <w:szCs w:val="24"/>
          </w:rPr>
          <w:t>www.primaria-medgidia.ro</w:t>
        </w:r>
      </w:hyperlink>
    </w:p>
    <w:p w:rsidR="00EA21FC" w:rsidRDefault="00EA21FC" w:rsidP="00EA21FC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</w:p>
    <w:p w:rsidR="00EA21FC" w:rsidRDefault="000851FD" w:rsidP="00EA21FC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Nr.6781/25.05.2017</w:t>
      </w:r>
    </w:p>
    <w:p w:rsidR="00B70E70" w:rsidRDefault="00B70E70" w:rsidP="00EA21FC">
      <w:pPr>
        <w:tabs>
          <w:tab w:val="left" w:pos="1365"/>
        </w:tabs>
        <w:spacing w:after="0"/>
        <w:rPr>
          <w:rFonts w:ascii="Arial" w:hAnsi="Arial" w:cs="Arial"/>
          <w:sz w:val="28"/>
          <w:szCs w:val="28"/>
        </w:rPr>
      </w:pPr>
    </w:p>
    <w:p w:rsidR="00EA21FC" w:rsidRDefault="00EA21FC" w:rsidP="00B70E70">
      <w:pPr>
        <w:tabs>
          <w:tab w:val="left" w:pos="136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B70E70">
        <w:rPr>
          <w:rFonts w:ascii="Arial" w:hAnsi="Arial" w:cs="Arial"/>
          <w:sz w:val="28"/>
          <w:szCs w:val="28"/>
        </w:rPr>
        <w:t>EFERAT DE SPECIALITATE</w:t>
      </w:r>
    </w:p>
    <w:p w:rsidR="0055492D" w:rsidRPr="00B70E70" w:rsidRDefault="000851FD" w:rsidP="00B70E7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0E70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0E70">
        <w:rPr>
          <w:rFonts w:ascii="Arial" w:hAnsi="Arial" w:cs="Arial"/>
          <w:b/>
          <w:sz w:val="24"/>
          <w:szCs w:val="24"/>
        </w:rPr>
        <w:t>stabilirea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0E70">
        <w:rPr>
          <w:rFonts w:ascii="Arial" w:hAnsi="Arial" w:cs="Arial"/>
          <w:b/>
          <w:sz w:val="24"/>
          <w:szCs w:val="24"/>
        </w:rPr>
        <w:t>impozitelor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0E70">
        <w:rPr>
          <w:rFonts w:ascii="Arial" w:hAnsi="Arial" w:cs="Arial"/>
          <w:b/>
          <w:sz w:val="24"/>
          <w:szCs w:val="24"/>
        </w:rPr>
        <w:t>ş</w:t>
      </w:r>
      <w:r w:rsidRPr="00B70E70">
        <w:rPr>
          <w:rFonts w:ascii="Arial" w:hAnsi="Arial" w:cs="Arial"/>
          <w:b/>
          <w:sz w:val="24"/>
          <w:szCs w:val="24"/>
        </w:rPr>
        <w:t>i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0E70">
        <w:rPr>
          <w:rFonts w:ascii="Arial" w:hAnsi="Arial" w:cs="Arial"/>
          <w:b/>
          <w:sz w:val="24"/>
          <w:szCs w:val="24"/>
        </w:rPr>
        <w:t>taxelor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70E70">
        <w:rPr>
          <w:rFonts w:ascii="Arial" w:hAnsi="Arial" w:cs="Arial"/>
          <w:b/>
          <w:sz w:val="24"/>
          <w:szCs w:val="24"/>
        </w:rPr>
        <w:t xml:space="preserve">locale </w:t>
      </w:r>
      <w:r w:rsidR="0055492D"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0E70">
        <w:rPr>
          <w:rFonts w:ascii="Arial" w:hAnsi="Arial" w:cs="Arial"/>
          <w:b/>
          <w:sz w:val="24"/>
          <w:szCs w:val="24"/>
        </w:rPr>
        <w:t>ş</w:t>
      </w:r>
      <w:r w:rsidR="0055492D" w:rsidRPr="00B70E70">
        <w:rPr>
          <w:rFonts w:ascii="Arial" w:hAnsi="Arial" w:cs="Arial"/>
          <w:b/>
          <w:sz w:val="24"/>
          <w:szCs w:val="24"/>
        </w:rPr>
        <w:t>i</w:t>
      </w:r>
      <w:proofErr w:type="spellEnd"/>
      <w:proofErr w:type="gramEnd"/>
      <w:r w:rsidR="0055492D" w:rsidRPr="00B70E7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55492D" w:rsidRPr="00B70E70">
        <w:rPr>
          <w:rFonts w:ascii="Arial" w:hAnsi="Arial" w:cs="Arial"/>
          <w:b/>
          <w:sz w:val="24"/>
          <w:szCs w:val="24"/>
        </w:rPr>
        <w:t>taxelor</w:t>
      </w:r>
      <w:proofErr w:type="spellEnd"/>
      <w:r w:rsidR="0055492D"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492D" w:rsidRPr="00B70E70">
        <w:rPr>
          <w:rFonts w:ascii="Arial" w:hAnsi="Arial" w:cs="Arial"/>
          <w:b/>
          <w:sz w:val="24"/>
          <w:szCs w:val="24"/>
        </w:rPr>
        <w:t>speciale</w:t>
      </w:r>
      <w:proofErr w:type="spellEnd"/>
    </w:p>
    <w:p w:rsidR="000851FD" w:rsidRPr="00B70E70" w:rsidRDefault="000851FD" w:rsidP="00B70E7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0E70">
        <w:rPr>
          <w:rFonts w:ascii="Arial" w:hAnsi="Arial" w:cs="Arial"/>
          <w:b/>
          <w:sz w:val="24"/>
          <w:szCs w:val="24"/>
        </w:rPr>
        <w:t>pe</w:t>
      </w:r>
      <w:r w:rsidR="0055492D" w:rsidRPr="00B70E70">
        <w:rPr>
          <w:rFonts w:ascii="Arial" w:hAnsi="Arial" w:cs="Arial"/>
          <w:b/>
          <w:sz w:val="24"/>
          <w:szCs w:val="24"/>
        </w:rPr>
        <w:t>ntru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0E70">
        <w:rPr>
          <w:rFonts w:ascii="Arial" w:hAnsi="Arial" w:cs="Arial"/>
          <w:b/>
          <w:sz w:val="24"/>
          <w:szCs w:val="24"/>
        </w:rPr>
        <w:t>anul</w:t>
      </w:r>
      <w:proofErr w:type="spellEnd"/>
      <w:r w:rsidRPr="00B70E70">
        <w:rPr>
          <w:rFonts w:ascii="Arial" w:hAnsi="Arial" w:cs="Arial"/>
          <w:b/>
          <w:sz w:val="24"/>
          <w:szCs w:val="24"/>
        </w:rPr>
        <w:t xml:space="preserve"> 2018</w:t>
      </w:r>
    </w:p>
    <w:p w:rsidR="00015D59" w:rsidRDefault="00015D59" w:rsidP="00EA21FC">
      <w:pPr>
        <w:tabs>
          <w:tab w:val="left" w:pos="1365"/>
        </w:tabs>
        <w:spacing w:after="0"/>
        <w:rPr>
          <w:rFonts w:ascii="Arial" w:hAnsi="Arial" w:cs="Arial"/>
          <w:sz w:val="28"/>
          <w:szCs w:val="28"/>
        </w:rPr>
      </w:pPr>
    </w:p>
    <w:p w:rsidR="00B70E70" w:rsidRDefault="00B70E70" w:rsidP="00EA21FC">
      <w:pPr>
        <w:tabs>
          <w:tab w:val="left" w:pos="1365"/>
        </w:tabs>
        <w:spacing w:after="0"/>
        <w:rPr>
          <w:rFonts w:ascii="Arial" w:hAnsi="Arial" w:cs="Arial"/>
          <w:sz w:val="28"/>
          <w:szCs w:val="28"/>
        </w:rPr>
      </w:pPr>
    </w:p>
    <w:p w:rsidR="00015D59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E4086">
        <w:rPr>
          <w:rFonts w:ascii="Arial" w:hAnsi="Arial" w:cs="Arial"/>
          <w:sz w:val="24"/>
          <w:szCs w:val="24"/>
        </w:rPr>
        <w:t>n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conformitate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E4086">
        <w:rPr>
          <w:rFonts w:ascii="Arial" w:hAnsi="Arial" w:cs="Arial"/>
          <w:sz w:val="24"/>
          <w:szCs w:val="24"/>
        </w:rPr>
        <w:t>prevederile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art.20 </w:t>
      </w:r>
      <w:proofErr w:type="spellStart"/>
      <w:proofErr w:type="gramStart"/>
      <w:r w:rsidR="00EE4086">
        <w:rPr>
          <w:rFonts w:ascii="Arial" w:hAnsi="Arial" w:cs="Arial"/>
          <w:sz w:val="24"/>
          <w:szCs w:val="24"/>
        </w:rPr>
        <w:t>alin</w:t>
      </w:r>
      <w:proofErr w:type="spellEnd"/>
      <w:r w:rsidR="00EE4086">
        <w:rPr>
          <w:rFonts w:ascii="Arial" w:hAnsi="Arial" w:cs="Arial"/>
          <w:sz w:val="24"/>
          <w:szCs w:val="24"/>
        </w:rPr>
        <w:t>.(</w:t>
      </w:r>
      <w:proofErr w:type="gramEnd"/>
      <w:r w:rsidR="00EE4086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EE4086">
        <w:rPr>
          <w:rFonts w:ascii="Arial" w:hAnsi="Arial" w:cs="Arial"/>
          <w:sz w:val="24"/>
          <w:szCs w:val="24"/>
        </w:rPr>
        <w:t>punctul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b) din </w:t>
      </w:r>
      <w:proofErr w:type="spellStart"/>
      <w:r w:rsidR="00EE4086">
        <w:rPr>
          <w:rFonts w:ascii="Arial" w:hAnsi="Arial" w:cs="Arial"/>
          <w:sz w:val="24"/>
          <w:szCs w:val="24"/>
        </w:rPr>
        <w:t>Legea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ne.273/2006 </w:t>
      </w:r>
      <w:proofErr w:type="spellStart"/>
      <w:r w:rsidR="00EE4086">
        <w:rPr>
          <w:rFonts w:ascii="Arial" w:hAnsi="Arial" w:cs="Arial"/>
          <w:sz w:val="24"/>
          <w:szCs w:val="24"/>
        </w:rPr>
        <w:t>privind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finan</w:t>
      </w:r>
      <w:r w:rsidR="00A826AD">
        <w:rPr>
          <w:rFonts w:ascii="Arial" w:hAnsi="Arial" w:cs="Arial"/>
          <w:sz w:val="24"/>
          <w:szCs w:val="24"/>
        </w:rPr>
        <w:t>ţ</w:t>
      </w:r>
      <w:r w:rsidR="00EE4086">
        <w:rPr>
          <w:rFonts w:ascii="Arial" w:hAnsi="Arial" w:cs="Arial"/>
          <w:sz w:val="24"/>
          <w:szCs w:val="24"/>
        </w:rPr>
        <w:t>ele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publice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locale cu </w:t>
      </w:r>
      <w:proofErr w:type="spellStart"/>
      <w:r w:rsidR="00EE4086">
        <w:rPr>
          <w:rFonts w:ascii="Arial" w:hAnsi="Arial" w:cs="Arial"/>
          <w:sz w:val="24"/>
          <w:szCs w:val="24"/>
        </w:rPr>
        <w:t>modific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complet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ulterioare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086">
        <w:rPr>
          <w:rFonts w:ascii="Arial" w:hAnsi="Arial" w:cs="Arial"/>
          <w:sz w:val="24"/>
          <w:szCs w:val="24"/>
        </w:rPr>
        <w:t>autorit</w:t>
      </w:r>
      <w:r w:rsidR="00A826AD">
        <w:rPr>
          <w:rFonts w:ascii="Arial" w:hAnsi="Arial" w:cs="Arial"/>
          <w:sz w:val="24"/>
          <w:szCs w:val="24"/>
        </w:rPr>
        <w:t>ăţ</w:t>
      </w:r>
      <w:r w:rsidR="00EE4086">
        <w:rPr>
          <w:rFonts w:ascii="Arial" w:hAnsi="Arial" w:cs="Arial"/>
          <w:sz w:val="24"/>
          <w:szCs w:val="24"/>
        </w:rPr>
        <w:t>ile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administra</w:t>
      </w:r>
      <w:r w:rsidR="00A826AD">
        <w:rPr>
          <w:rFonts w:ascii="Arial" w:hAnsi="Arial" w:cs="Arial"/>
          <w:sz w:val="24"/>
          <w:szCs w:val="24"/>
        </w:rPr>
        <w:t>ţ</w:t>
      </w:r>
      <w:r w:rsidR="00EE4086">
        <w:rPr>
          <w:rFonts w:ascii="Arial" w:hAnsi="Arial" w:cs="Arial"/>
          <w:sz w:val="24"/>
          <w:szCs w:val="24"/>
        </w:rPr>
        <w:t>iei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publice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locale au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 w:rsidR="00EE4086">
        <w:rPr>
          <w:rFonts w:ascii="Arial" w:hAnsi="Arial" w:cs="Arial"/>
          <w:sz w:val="24"/>
          <w:szCs w:val="24"/>
        </w:rPr>
        <w:t>n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competen</w:t>
      </w:r>
      <w:r w:rsidR="00A826AD">
        <w:rPr>
          <w:rFonts w:ascii="Arial" w:hAnsi="Arial" w:cs="Arial"/>
          <w:sz w:val="24"/>
          <w:szCs w:val="24"/>
        </w:rPr>
        <w:t>ţă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responsabilitatea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 w:rsidR="00EE4086">
        <w:rPr>
          <w:rFonts w:ascii="Arial" w:hAnsi="Arial" w:cs="Arial"/>
          <w:sz w:val="24"/>
          <w:szCs w:val="24"/>
        </w:rPr>
        <w:t>n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domeniul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stabilirii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086">
        <w:rPr>
          <w:rFonts w:ascii="Arial" w:hAnsi="Arial" w:cs="Arial"/>
          <w:sz w:val="24"/>
          <w:szCs w:val="24"/>
        </w:rPr>
        <w:t>constat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086">
        <w:rPr>
          <w:rFonts w:ascii="Arial" w:hAnsi="Arial" w:cs="Arial"/>
          <w:sz w:val="24"/>
          <w:szCs w:val="24"/>
        </w:rPr>
        <w:t>controlului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086">
        <w:rPr>
          <w:rFonts w:ascii="Arial" w:hAnsi="Arial" w:cs="Arial"/>
          <w:sz w:val="24"/>
          <w:szCs w:val="24"/>
        </w:rPr>
        <w:t>urm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ririi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 w:rsidR="00EE4086">
        <w:rPr>
          <w:rFonts w:ascii="Arial" w:hAnsi="Arial" w:cs="Arial"/>
          <w:sz w:val="24"/>
          <w:szCs w:val="24"/>
        </w:rPr>
        <w:t>ncas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impozitelor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taxelor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locale, precum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E4086">
        <w:rPr>
          <w:rFonts w:ascii="Arial" w:hAnsi="Arial" w:cs="Arial"/>
          <w:sz w:val="24"/>
          <w:szCs w:val="24"/>
        </w:rPr>
        <w:t>oric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altor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venituri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EE4086">
        <w:rPr>
          <w:rFonts w:ascii="Arial" w:hAnsi="Arial" w:cs="Arial"/>
          <w:sz w:val="24"/>
          <w:szCs w:val="24"/>
        </w:rPr>
        <w:t>unit</w:t>
      </w:r>
      <w:r w:rsidR="00A826AD">
        <w:rPr>
          <w:rFonts w:ascii="Arial" w:hAnsi="Arial" w:cs="Arial"/>
          <w:sz w:val="24"/>
          <w:szCs w:val="24"/>
        </w:rPr>
        <w:t>ăţ</w:t>
      </w:r>
      <w:r w:rsidR="00EE4086">
        <w:rPr>
          <w:rFonts w:ascii="Arial" w:hAnsi="Arial" w:cs="Arial"/>
          <w:sz w:val="24"/>
          <w:szCs w:val="24"/>
        </w:rPr>
        <w:t>ilor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administrativ-teritoriale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086">
        <w:rPr>
          <w:rFonts w:ascii="Arial" w:hAnsi="Arial" w:cs="Arial"/>
          <w:sz w:val="24"/>
          <w:szCs w:val="24"/>
        </w:rPr>
        <w:t>prin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compartimentele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proprii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4086">
        <w:rPr>
          <w:rFonts w:ascii="Arial" w:hAnsi="Arial" w:cs="Arial"/>
          <w:sz w:val="24"/>
          <w:szCs w:val="24"/>
        </w:rPr>
        <w:t>specialitate</w:t>
      </w:r>
      <w:proofErr w:type="spellEnd"/>
      <w:r w:rsidR="00EE4086">
        <w:rPr>
          <w:rFonts w:ascii="Arial" w:hAnsi="Arial" w:cs="Arial"/>
          <w:sz w:val="24"/>
          <w:szCs w:val="24"/>
        </w:rPr>
        <w:t>.</w:t>
      </w:r>
    </w:p>
    <w:p w:rsidR="00EE4086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EE4086">
        <w:rPr>
          <w:rFonts w:ascii="Arial" w:hAnsi="Arial" w:cs="Arial"/>
          <w:sz w:val="24"/>
          <w:szCs w:val="24"/>
        </w:rPr>
        <w:t>Necesitatea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elaborarii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unui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proiect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4086">
        <w:rPr>
          <w:rFonts w:ascii="Arial" w:hAnsi="Arial" w:cs="Arial"/>
          <w:sz w:val="24"/>
          <w:szCs w:val="24"/>
        </w:rPr>
        <w:t>hot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</w:t>
      </w:r>
      <w:r w:rsidR="00A826AD">
        <w:rPr>
          <w:rFonts w:ascii="Arial" w:hAnsi="Arial" w:cs="Arial"/>
          <w:sz w:val="24"/>
          <w:szCs w:val="24"/>
        </w:rPr>
        <w:t>â</w:t>
      </w:r>
      <w:r w:rsidR="00EE4086">
        <w:rPr>
          <w:rFonts w:ascii="Arial" w:hAnsi="Arial" w:cs="Arial"/>
          <w:sz w:val="24"/>
          <w:szCs w:val="24"/>
        </w:rPr>
        <w:t>re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privind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stabilirea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impozitelor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taxelor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locale se </w:t>
      </w:r>
      <w:proofErr w:type="spellStart"/>
      <w:r w:rsidR="00EE4086">
        <w:rPr>
          <w:rFonts w:ascii="Arial" w:hAnsi="Arial" w:cs="Arial"/>
          <w:sz w:val="24"/>
          <w:szCs w:val="24"/>
        </w:rPr>
        <w:t>fundamenteaz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pe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baza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urm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toarelor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articole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E4086">
        <w:rPr>
          <w:rFonts w:ascii="Arial" w:hAnsi="Arial" w:cs="Arial"/>
          <w:sz w:val="24"/>
          <w:szCs w:val="24"/>
        </w:rPr>
        <w:t>cuprinsul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Legii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nr.227/2015 </w:t>
      </w:r>
      <w:proofErr w:type="spellStart"/>
      <w:r w:rsidR="00EE4086">
        <w:rPr>
          <w:rFonts w:ascii="Arial" w:hAnsi="Arial" w:cs="Arial"/>
          <w:sz w:val="24"/>
          <w:szCs w:val="24"/>
        </w:rPr>
        <w:t>privind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Codul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fiscal, cu </w:t>
      </w:r>
      <w:proofErr w:type="spellStart"/>
      <w:r w:rsidR="00EE4086">
        <w:rPr>
          <w:rFonts w:ascii="Arial" w:hAnsi="Arial" w:cs="Arial"/>
          <w:sz w:val="24"/>
          <w:szCs w:val="24"/>
        </w:rPr>
        <w:t>modific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EE4086">
        <w:rPr>
          <w:rFonts w:ascii="Arial" w:hAnsi="Arial" w:cs="Arial"/>
          <w:sz w:val="24"/>
          <w:szCs w:val="24"/>
        </w:rPr>
        <w:t>i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complet</w:t>
      </w:r>
      <w:r w:rsidR="00A826AD">
        <w:rPr>
          <w:rFonts w:ascii="Arial" w:hAnsi="Arial" w:cs="Arial"/>
          <w:sz w:val="24"/>
          <w:szCs w:val="24"/>
        </w:rPr>
        <w:t>ă</w:t>
      </w:r>
      <w:r w:rsidR="00EE4086">
        <w:rPr>
          <w:rFonts w:ascii="Arial" w:hAnsi="Arial" w:cs="Arial"/>
          <w:sz w:val="24"/>
          <w:szCs w:val="24"/>
        </w:rPr>
        <w:t>rile</w:t>
      </w:r>
      <w:proofErr w:type="spellEnd"/>
      <w:r w:rsidR="00EE4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086">
        <w:rPr>
          <w:rFonts w:ascii="Arial" w:hAnsi="Arial" w:cs="Arial"/>
          <w:sz w:val="24"/>
          <w:szCs w:val="24"/>
        </w:rPr>
        <w:t>ulterioare</w:t>
      </w:r>
      <w:proofErr w:type="spellEnd"/>
      <w:r w:rsidR="00EE4086">
        <w:rPr>
          <w:rFonts w:ascii="Arial" w:hAnsi="Arial" w:cs="Arial"/>
          <w:sz w:val="24"/>
          <w:szCs w:val="24"/>
        </w:rPr>
        <w:t>:</w:t>
      </w:r>
    </w:p>
    <w:p w:rsidR="00CB293D" w:rsidRDefault="00CB293D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Art.491 – </w:t>
      </w:r>
      <w:proofErr w:type="spellStart"/>
      <w:r>
        <w:rPr>
          <w:rFonts w:ascii="Arial" w:hAnsi="Arial" w:cs="Arial"/>
          <w:sz w:val="24"/>
          <w:szCs w:val="24"/>
        </w:rPr>
        <w:t>Indexarea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impozitelor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taxelor</w:t>
      </w:r>
      <w:proofErr w:type="spellEnd"/>
      <w:r>
        <w:rPr>
          <w:rFonts w:ascii="Arial" w:hAnsi="Arial" w:cs="Arial"/>
          <w:sz w:val="24"/>
          <w:szCs w:val="24"/>
        </w:rPr>
        <w:t xml:space="preserve"> locale</w:t>
      </w:r>
    </w:p>
    <w:p w:rsidR="00CB293D" w:rsidRDefault="00CB293D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</w:t>
      </w:r>
      <w:r w:rsidR="00A826AD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</w:t>
      </w:r>
      <w:r w:rsidR="00A826AD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taxe</w:t>
      </w:r>
      <w:proofErr w:type="spellEnd"/>
      <w:r>
        <w:rPr>
          <w:rFonts w:ascii="Arial" w:hAnsi="Arial" w:cs="Arial"/>
          <w:sz w:val="24"/>
          <w:szCs w:val="24"/>
        </w:rPr>
        <w:t xml:space="preserve"> locale, care </w:t>
      </w:r>
      <w:proofErr w:type="spellStart"/>
      <w:r>
        <w:rPr>
          <w:rFonts w:ascii="Arial" w:hAnsi="Arial" w:cs="Arial"/>
          <w:sz w:val="24"/>
          <w:szCs w:val="24"/>
        </w:rPr>
        <w:t>const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anumit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lei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lei, </w:t>
      </w:r>
      <w:proofErr w:type="spellStart"/>
      <w:r>
        <w:rPr>
          <w:rFonts w:ascii="Arial" w:hAnsi="Arial" w:cs="Arial"/>
          <w:sz w:val="24"/>
          <w:szCs w:val="24"/>
        </w:rPr>
        <w:t>sumele</w:t>
      </w:r>
      <w:proofErr w:type="spellEnd"/>
      <w:r w:rsidR="00733020">
        <w:rPr>
          <w:rFonts w:ascii="Arial" w:hAnsi="Arial" w:cs="Arial"/>
          <w:sz w:val="24"/>
          <w:szCs w:val="24"/>
        </w:rPr>
        <w:t xml:space="preserve"> respective se </w:t>
      </w:r>
      <w:proofErr w:type="spellStart"/>
      <w:r w:rsidR="00733020">
        <w:rPr>
          <w:rFonts w:ascii="Arial" w:hAnsi="Arial" w:cs="Arial"/>
          <w:sz w:val="24"/>
          <w:szCs w:val="24"/>
        </w:rPr>
        <w:t>indexeaza</w:t>
      </w:r>
      <w:proofErr w:type="spellEnd"/>
      <w:r w:rsidR="0073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20">
        <w:rPr>
          <w:rFonts w:ascii="Arial" w:hAnsi="Arial" w:cs="Arial"/>
          <w:sz w:val="24"/>
          <w:szCs w:val="24"/>
        </w:rPr>
        <w:t>anual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826AD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consiliile</w:t>
      </w:r>
      <w:proofErr w:type="spellEnd"/>
      <w:r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="00A826AD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in</w:t>
      </w:r>
      <w:r w:rsidR="00A826A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</w:t>
      </w:r>
      <w:proofErr w:type="spellEnd"/>
      <w:r>
        <w:rPr>
          <w:rFonts w:ascii="Arial" w:hAnsi="Arial" w:cs="Arial"/>
          <w:sz w:val="24"/>
          <w:szCs w:val="24"/>
        </w:rPr>
        <w:t xml:space="preserve"> de rata </w:t>
      </w:r>
      <w:proofErr w:type="spellStart"/>
      <w:r>
        <w:rPr>
          <w:rFonts w:ascii="Arial" w:hAnsi="Arial" w:cs="Arial"/>
          <w:sz w:val="24"/>
          <w:szCs w:val="24"/>
        </w:rPr>
        <w:t>infla</w:t>
      </w:r>
      <w:r w:rsidR="00A826AD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fiscal anterior, </w:t>
      </w:r>
      <w:proofErr w:type="spellStart"/>
      <w:r>
        <w:rPr>
          <w:rFonts w:ascii="Arial" w:hAnsi="Arial" w:cs="Arial"/>
          <w:sz w:val="24"/>
          <w:szCs w:val="24"/>
        </w:rPr>
        <w:t>comunicat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site-urile </w:t>
      </w:r>
      <w:proofErr w:type="spellStart"/>
      <w:r>
        <w:rPr>
          <w:rFonts w:ascii="Arial" w:hAnsi="Arial" w:cs="Arial"/>
          <w:sz w:val="24"/>
          <w:szCs w:val="24"/>
        </w:rPr>
        <w:t>oficiale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Ministerului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Finan</w:t>
      </w:r>
      <w:r w:rsidR="00A826AD">
        <w:rPr>
          <w:rFonts w:ascii="Arial" w:hAnsi="Arial" w:cs="Arial"/>
          <w:sz w:val="24"/>
          <w:szCs w:val="24"/>
        </w:rPr>
        <w:t>ţ</w:t>
      </w:r>
      <w:r w:rsidR="00100610">
        <w:rPr>
          <w:rFonts w:ascii="Arial" w:hAnsi="Arial" w:cs="Arial"/>
          <w:sz w:val="24"/>
          <w:szCs w:val="24"/>
        </w:rPr>
        <w:t>elor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Publice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Ministerului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Dezvolt</w:t>
      </w:r>
      <w:r w:rsidR="00A826AD">
        <w:rPr>
          <w:rFonts w:ascii="Arial" w:hAnsi="Arial" w:cs="Arial"/>
          <w:sz w:val="24"/>
          <w:szCs w:val="24"/>
        </w:rPr>
        <w:t>ă</w:t>
      </w:r>
      <w:r w:rsidR="00100610">
        <w:rPr>
          <w:rFonts w:ascii="Arial" w:hAnsi="Arial" w:cs="Arial"/>
          <w:sz w:val="24"/>
          <w:szCs w:val="24"/>
        </w:rPr>
        <w:t>rii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Regionale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Administra</w:t>
      </w:r>
      <w:r w:rsidR="00A826AD">
        <w:rPr>
          <w:rFonts w:ascii="Arial" w:hAnsi="Arial" w:cs="Arial"/>
          <w:sz w:val="24"/>
          <w:szCs w:val="24"/>
        </w:rPr>
        <w:t>ţ</w:t>
      </w:r>
      <w:r w:rsidR="00100610">
        <w:rPr>
          <w:rFonts w:ascii="Arial" w:hAnsi="Arial" w:cs="Arial"/>
          <w:sz w:val="24"/>
          <w:szCs w:val="24"/>
        </w:rPr>
        <w:t>iei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Publice</w:t>
      </w:r>
      <w:proofErr w:type="spellEnd"/>
      <w:r w:rsidR="00100610">
        <w:rPr>
          <w:rFonts w:ascii="Arial" w:hAnsi="Arial" w:cs="Arial"/>
          <w:sz w:val="24"/>
          <w:szCs w:val="24"/>
        </w:rPr>
        <w:t>.</w:t>
      </w:r>
    </w:p>
    <w:p w:rsidR="00100610" w:rsidRDefault="0010061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proofErr w:type="spellStart"/>
      <w:r>
        <w:rPr>
          <w:rFonts w:ascii="Arial" w:hAnsi="Arial" w:cs="Arial"/>
          <w:sz w:val="24"/>
          <w:szCs w:val="24"/>
        </w:rPr>
        <w:t>Sumele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indexate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1) se </w:t>
      </w:r>
      <w:proofErr w:type="spellStart"/>
      <w:r>
        <w:rPr>
          <w:rFonts w:ascii="Arial" w:hAnsi="Arial" w:cs="Arial"/>
          <w:sz w:val="24"/>
          <w:szCs w:val="24"/>
        </w:rPr>
        <w:t>aprob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</w:t>
      </w:r>
      <w:r w:rsidR="00A826AD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</w:t>
      </w:r>
      <w:r w:rsidR="00A826A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consiliului</w:t>
      </w:r>
      <w:proofErr w:type="spellEnd"/>
      <w:r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aplic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fiscal </w:t>
      </w:r>
      <w:proofErr w:type="spellStart"/>
      <w:r>
        <w:rPr>
          <w:rFonts w:ascii="Arial" w:hAnsi="Arial" w:cs="Arial"/>
          <w:sz w:val="24"/>
          <w:szCs w:val="24"/>
        </w:rPr>
        <w:t>urm</w:t>
      </w:r>
      <w:r w:rsidR="00A826AD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tor</w:t>
      </w:r>
      <w:proofErr w:type="spellEnd"/>
      <w:r w:rsidR="00A826AD">
        <w:rPr>
          <w:rFonts w:ascii="Arial" w:hAnsi="Arial" w:cs="Arial"/>
          <w:sz w:val="24"/>
          <w:szCs w:val="24"/>
        </w:rPr>
        <w:t>.</w:t>
      </w:r>
    </w:p>
    <w:p w:rsidR="0010061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00610">
        <w:rPr>
          <w:rFonts w:ascii="Arial" w:hAnsi="Arial" w:cs="Arial"/>
          <w:sz w:val="24"/>
          <w:szCs w:val="24"/>
        </w:rPr>
        <w:t xml:space="preserve">- art.495 </w:t>
      </w:r>
      <w:proofErr w:type="spellStart"/>
      <w:proofErr w:type="gramStart"/>
      <w:r w:rsidR="00100610">
        <w:rPr>
          <w:rFonts w:ascii="Arial" w:hAnsi="Arial" w:cs="Arial"/>
          <w:sz w:val="24"/>
          <w:szCs w:val="24"/>
        </w:rPr>
        <w:t>lit.f</w:t>
      </w:r>
      <w:proofErr w:type="spellEnd"/>
      <w:proofErr w:type="gramEnd"/>
      <w:r w:rsidR="00100610">
        <w:rPr>
          <w:rFonts w:ascii="Arial" w:hAnsi="Arial" w:cs="Arial"/>
          <w:sz w:val="24"/>
          <w:szCs w:val="24"/>
        </w:rPr>
        <w:t xml:space="preserve">) conform </w:t>
      </w:r>
      <w:proofErr w:type="spellStart"/>
      <w:r w:rsidR="00100610">
        <w:rPr>
          <w:rFonts w:ascii="Arial" w:hAnsi="Arial" w:cs="Arial"/>
          <w:sz w:val="24"/>
          <w:szCs w:val="24"/>
        </w:rPr>
        <w:t>c</w:t>
      </w:r>
      <w:r w:rsidR="00A826AD">
        <w:rPr>
          <w:rFonts w:ascii="Arial" w:hAnsi="Arial" w:cs="Arial"/>
          <w:sz w:val="24"/>
          <w:szCs w:val="24"/>
        </w:rPr>
        <w:t>ă</w:t>
      </w:r>
      <w:r w:rsidR="00100610">
        <w:rPr>
          <w:rFonts w:ascii="Arial" w:hAnsi="Arial" w:cs="Arial"/>
          <w:sz w:val="24"/>
          <w:szCs w:val="24"/>
        </w:rPr>
        <w:t>ruia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: “ </w:t>
      </w:r>
      <w:proofErr w:type="spellStart"/>
      <w:r w:rsidR="00100610">
        <w:rPr>
          <w:rFonts w:ascii="Arial" w:hAnsi="Arial" w:cs="Arial"/>
          <w:sz w:val="24"/>
          <w:szCs w:val="24"/>
        </w:rPr>
        <w:t>consiliile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locale </w:t>
      </w:r>
      <w:proofErr w:type="spellStart"/>
      <w:r w:rsidR="00100610">
        <w:rPr>
          <w:rFonts w:ascii="Arial" w:hAnsi="Arial" w:cs="Arial"/>
          <w:sz w:val="24"/>
          <w:szCs w:val="24"/>
        </w:rPr>
        <w:t>adopt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hot</w:t>
      </w:r>
      <w:r w:rsidR="00A826AD">
        <w:rPr>
          <w:rFonts w:ascii="Arial" w:hAnsi="Arial" w:cs="Arial"/>
          <w:sz w:val="24"/>
          <w:szCs w:val="24"/>
        </w:rPr>
        <w:t>ă</w:t>
      </w:r>
      <w:r w:rsidR="00100610">
        <w:rPr>
          <w:rFonts w:ascii="Arial" w:hAnsi="Arial" w:cs="Arial"/>
          <w:sz w:val="24"/>
          <w:szCs w:val="24"/>
        </w:rPr>
        <w:t>r</w:t>
      </w:r>
      <w:r w:rsidR="00A826AD">
        <w:rPr>
          <w:rFonts w:ascii="Arial" w:hAnsi="Arial" w:cs="Arial"/>
          <w:sz w:val="24"/>
          <w:szCs w:val="24"/>
        </w:rPr>
        <w:t>â</w:t>
      </w:r>
      <w:r w:rsidR="00100610">
        <w:rPr>
          <w:rFonts w:ascii="Arial" w:hAnsi="Arial" w:cs="Arial"/>
          <w:sz w:val="24"/>
          <w:szCs w:val="24"/>
        </w:rPr>
        <w:t>ri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privind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nivelurile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impozitelor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taxelor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av</w:t>
      </w:r>
      <w:r w:rsidR="00A826AD">
        <w:rPr>
          <w:rFonts w:ascii="Arial" w:hAnsi="Arial" w:cs="Arial"/>
          <w:sz w:val="24"/>
          <w:szCs w:val="24"/>
        </w:rPr>
        <w:t>â</w:t>
      </w:r>
      <w:r w:rsidR="00100610">
        <w:rPr>
          <w:rFonts w:ascii="Arial" w:hAnsi="Arial" w:cs="Arial"/>
          <w:sz w:val="24"/>
          <w:szCs w:val="24"/>
        </w:rPr>
        <w:t>nd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competen</w:t>
      </w:r>
      <w:r w:rsidR="00A826AD">
        <w:rPr>
          <w:rFonts w:ascii="Arial" w:hAnsi="Arial" w:cs="Arial"/>
          <w:sz w:val="24"/>
          <w:szCs w:val="24"/>
        </w:rPr>
        <w:t>ţ</w:t>
      </w:r>
      <w:r w:rsidR="00100610">
        <w:rPr>
          <w:rFonts w:ascii="Arial" w:hAnsi="Arial" w:cs="Arial"/>
          <w:sz w:val="24"/>
          <w:szCs w:val="24"/>
        </w:rPr>
        <w:t>a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100610">
        <w:rPr>
          <w:rFonts w:ascii="Arial" w:hAnsi="Arial" w:cs="Arial"/>
          <w:sz w:val="24"/>
          <w:szCs w:val="24"/>
        </w:rPr>
        <w:t>astabili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cota</w:t>
      </w:r>
      <w:proofErr w:type="spellEnd"/>
      <w:r w:rsidR="00100610">
        <w:rPr>
          <w:rFonts w:ascii="Arial" w:hAnsi="Arial" w:cs="Arial"/>
          <w:sz w:val="24"/>
          <w:szCs w:val="24"/>
        </w:rPr>
        <w:t>/</w:t>
      </w:r>
      <w:proofErr w:type="spellStart"/>
      <w:r w:rsidR="00100610">
        <w:rPr>
          <w:rFonts w:ascii="Arial" w:hAnsi="Arial" w:cs="Arial"/>
          <w:sz w:val="24"/>
          <w:szCs w:val="24"/>
        </w:rPr>
        <w:t>valoarea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impozitelor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taxelor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locale </w:t>
      </w:r>
      <w:proofErr w:type="spellStart"/>
      <w:r w:rsidR="00100610">
        <w:rPr>
          <w:rFonts w:ascii="Arial" w:hAnsi="Arial" w:cs="Arial"/>
          <w:sz w:val="24"/>
          <w:szCs w:val="24"/>
        </w:rPr>
        <w:t>cand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prin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lege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sunt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stabilite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limite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minime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maxime</w:t>
      </w:r>
      <w:proofErr w:type="spellEnd"/>
      <w:r w:rsidR="00100610">
        <w:rPr>
          <w:rFonts w:ascii="Arial" w:hAnsi="Arial" w:cs="Arial"/>
          <w:sz w:val="24"/>
          <w:szCs w:val="24"/>
        </w:rPr>
        <w:t>;</w:t>
      </w:r>
    </w:p>
    <w:p w:rsidR="0010061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00610">
        <w:rPr>
          <w:rFonts w:ascii="Arial" w:hAnsi="Arial" w:cs="Arial"/>
          <w:sz w:val="24"/>
          <w:szCs w:val="24"/>
        </w:rPr>
        <w:t xml:space="preserve">- art.462 </w:t>
      </w:r>
      <w:proofErr w:type="spellStart"/>
      <w:proofErr w:type="gramStart"/>
      <w:r w:rsidR="00100610">
        <w:rPr>
          <w:rFonts w:ascii="Arial" w:hAnsi="Arial" w:cs="Arial"/>
          <w:sz w:val="24"/>
          <w:szCs w:val="24"/>
        </w:rPr>
        <w:t>alin</w:t>
      </w:r>
      <w:proofErr w:type="spellEnd"/>
      <w:r w:rsidR="00100610">
        <w:rPr>
          <w:rFonts w:ascii="Arial" w:hAnsi="Arial" w:cs="Arial"/>
          <w:sz w:val="24"/>
          <w:szCs w:val="24"/>
        </w:rPr>
        <w:t>(</w:t>
      </w:r>
      <w:proofErr w:type="gramEnd"/>
      <w:r w:rsidR="00100610">
        <w:rPr>
          <w:rFonts w:ascii="Arial" w:hAnsi="Arial" w:cs="Arial"/>
          <w:sz w:val="24"/>
          <w:szCs w:val="24"/>
        </w:rPr>
        <w:t xml:space="preserve">2), art.467 </w:t>
      </w:r>
      <w:proofErr w:type="spellStart"/>
      <w:r w:rsidR="00100610">
        <w:rPr>
          <w:rFonts w:ascii="Arial" w:hAnsi="Arial" w:cs="Arial"/>
          <w:sz w:val="24"/>
          <w:szCs w:val="24"/>
        </w:rPr>
        <w:t>alin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.(2)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art.472 </w:t>
      </w:r>
      <w:proofErr w:type="spellStart"/>
      <w:r w:rsidR="00100610">
        <w:rPr>
          <w:rFonts w:ascii="Arial" w:hAnsi="Arial" w:cs="Arial"/>
          <w:sz w:val="24"/>
          <w:szCs w:val="24"/>
        </w:rPr>
        <w:t>alin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.(2) conform </w:t>
      </w:r>
      <w:proofErr w:type="spellStart"/>
      <w:r w:rsidR="00100610">
        <w:rPr>
          <w:rFonts w:ascii="Arial" w:hAnsi="Arial" w:cs="Arial"/>
          <w:sz w:val="24"/>
          <w:szCs w:val="24"/>
        </w:rPr>
        <w:t>c</w:t>
      </w:r>
      <w:r w:rsidR="00A826AD">
        <w:rPr>
          <w:rFonts w:ascii="Arial" w:hAnsi="Arial" w:cs="Arial"/>
          <w:sz w:val="24"/>
          <w:szCs w:val="24"/>
        </w:rPr>
        <w:t>ă</w:t>
      </w:r>
      <w:r w:rsidR="00100610">
        <w:rPr>
          <w:rFonts w:ascii="Arial" w:hAnsi="Arial" w:cs="Arial"/>
          <w:sz w:val="24"/>
          <w:szCs w:val="24"/>
        </w:rPr>
        <w:t>rora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consiliul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100610">
        <w:rPr>
          <w:rFonts w:ascii="Arial" w:hAnsi="Arial" w:cs="Arial"/>
          <w:sz w:val="24"/>
          <w:szCs w:val="24"/>
        </w:rPr>
        <w:t>stabile</w:t>
      </w:r>
      <w:r w:rsidR="00A826AD">
        <w:rPr>
          <w:rFonts w:ascii="Arial" w:hAnsi="Arial" w:cs="Arial"/>
          <w:sz w:val="24"/>
          <w:szCs w:val="24"/>
        </w:rPr>
        <w:t>ş</w:t>
      </w:r>
      <w:r w:rsidR="00100610">
        <w:rPr>
          <w:rFonts w:ascii="Arial" w:hAnsi="Arial" w:cs="Arial"/>
          <w:sz w:val="24"/>
          <w:szCs w:val="24"/>
        </w:rPr>
        <w:t>te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nivelul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bonifica</w:t>
      </w:r>
      <w:r w:rsidR="00A826AD">
        <w:rPr>
          <w:rFonts w:ascii="Arial" w:hAnsi="Arial" w:cs="Arial"/>
          <w:sz w:val="24"/>
          <w:szCs w:val="24"/>
        </w:rPr>
        <w:t>ţ</w:t>
      </w:r>
      <w:r w:rsidR="00100610">
        <w:rPr>
          <w:rFonts w:ascii="Arial" w:hAnsi="Arial" w:cs="Arial"/>
          <w:sz w:val="24"/>
          <w:szCs w:val="24"/>
        </w:rPr>
        <w:t>iei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00610">
        <w:rPr>
          <w:rFonts w:ascii="Arial" w:hAnsi="Arial" w:cs="Arial"/>
          <w:sz w:val="24"/>
          <w:szCs w:val="24"/>
        </w:rPr>
        <w:t>p</w:t>
      </w:r>
      <w:r w:rsidR="00A826AD">
        <w:rPr>
          <w:rFonts w:ascii="Arial" w:hAnsi="Arial" w:cs="Arial"/>
          <w:sz w:val="24"/>
          <w:szCs w:val="24"/>
        </w:rPr>
        <w:t>â</w:t>
      </w:r>
      <w:r w:rsidR="00100610">
        <w:rPr>
          <w:rFonts w:ascii="Arial" w:hAnsi="Arial" w:cs="Arial"/>
          <w:sz w:val="24"/>
          <w:szCs w:val="24"/>
        </w:rPr>
        <w:t>n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la 10% </w:t>
      </w:r>
      <w:proofErr w:type="spellStart"/>
      <w:r w:rsidR="00100610">
        <w:rPr>
          <w:rFonts w:ascii="Arial" w:hAnsi="Arial" w:cs="Arial"/>
          <w:sz w:val="24"/>
          <w:szCs w:val="24"/>
        </w:rPr>
        <w:t>pentru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plata</w:t>
      </w:r>
      <w:proofErr w:type="spellEnd"/>
      <w:r w:rsidR="001006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00610">
        <w:rPr>
          <w:rFonts w:ascii="Arial" w:hAnsi="Arial" w:cs="Arial"/>
          <w:sz w:val="24"/>
          <w:szCs w:val="24"/>
        </w:rPr>
        <w:t>anticipa</w:t>
      </w:r>
      <w:r w:rsidR="00A826AD">
        <w:rPr>
          <w:rFonts w:ascii="Arial" w:hAnsi="Arial" w:cs="Arial"/>
          <w:sz w:val="24"/>
          <w:szCs w:val="24"/>
        </w:rPr>
        <w:t>ţ</w:t>
      </w:r>
      <w:r w:rsidR="00100610">
        <w:rPr>
          <w:rFonts w:ascii="Arial" w:hAnsi="Arial" w:cs="Arial"/>
          <w:sz w:val="24"/>
          <w:szCs w:val="24"/>
        </w:rPr>
        <w:t>ie</w:t>
      </w:r>
      <w:proofErr w:type="spellEnd"/>
      <w:r w:rsidR="00A826AD">
        <w:rPr>
          <w:rFonts w:ascii="Arial" w:hAnsi="Arial" w:cs="Arial"/>
          <w:sz w:val="24"/>
          <w:szCs w:val="24"/>
        </w:rPr>
        <w:t xml:space="preserve"> a</w:t>
      </w:r>
      <w:r w:rsidR="00100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610">
        <w:rPr>
          <w:rFonts w:ascii="Arial" w:hAnsi="Arial" w:cs="Arial"/>
          <w:sz w:val="24"/>
          <w:szCs w:val="24"/>
        </w:rPr>
        <w:t>impozitului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cl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diri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FE7">
        <w:rPr>
          <w:rFonts w:ascii="Arial" w:hAnsi="Arial" w:cs="Arial"/>
          <w:sz w:val="24"/>
          <w:szCs w:val="24"/>
        </w:rPr>
        <w:t>impozitului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teren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8B6FE7">
        <w:rPr>
          <w:rFonts w:ascii="Arial" w:hAnsi="Arial" w:cs="Arial"/>
          <w:sz w:val="24"/>
          <w:szCs w:val="24"/>
        </w:rPr>
        <w:t>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impozitul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mijloacele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transport;</w:t>
      </w:r>
    </w:p>
    <w:p w:rsidR="008B6FE7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6FE7">
        <w:rPr>
          <w:rFonts w:ascii="Arial" w:hAnsi="Arial" w:cs="Arial"/>
          <w:sz w:val="24"/>
          <w:szCs w:val="24"/>
        </w:rPr>
        <w:t xml:space="preserve">- art.484 </w:t>
      </w:r>
      <w:proofErr w:type="spellStart"/>
      <w:proofErr w:type="gramStart"/>
      <w:r w:rsidR="008B6FE7">
        <w:rPr>
          <w:rFonts w:ascii="Arial" w:hAnsi="Arial" w:cs="Arial"/>
          <w:sz w:val="24"/>
          <w:szCs w:val="24"/>
        </w:rPr>
        <w:t>alin</w:t>
      </w:r>
      <w:proofErr w:type="spellEnd"/>
      <w:r w:rsidR="008B6FE7">
        <w:rPr>
          <w:rFonts w:ascii="Arial" w:hAnsi="Arial" w:cs="Arial"/>
          <w:sz w:val="24"/>
          <w:szCs w:val="24"/>
        </w:rPr>
        <w:t>.(</w:t>
      </w:r>
      <w:proofErr w:type="gramEnd"/>
      <w:r w:rsidR="008B6FE7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8B6FE7">
        <w:rPr>
          <w:rFonts w:ascii="Arial" w:hAnsi="Arial" w:cs="Arial"/>
          <w:sz w:val="24"/>
          <w:szCs w:val="24"/>
        </w:rPr>
        <w:t>si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art.486 </w:t>
      </w:r>
      <w:proofErr w:type="spellStart"/>
      <w:r w:rsidR="008B6FE7">
        <w:rPr>
          <w:rFonts w:ascii="Arial" w:hAnsi="Arial" w:cs="Arial"/>
          <w:sz w:val="24"/>
          <w:szCs w:val="24"/>
        </w:rPr>
        <w:t>alin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.(1)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8B6FE7">
        <w:rPr>
          <w:rFonts w:ascii="Arial" w:hAnsi="Arial" w:cs="Arial"/>
          <w:sz w:val="24"/>
          <w:szCs w:val="24"/>
        </w:rPr>
        <w:t>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alin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.(2) conform </w:t>
      </w:r>
      <w:proofErr w:type="spellStart"/>
      <w:r w:rsidR="008B6FE7">
        <w:rPr>
          <w:rFonts w:ascii="Arial" w:hAnsi="Arial" w:cs="Arial"/>
          <w:sz w:val="24"/>
          <w:szCs w:val="24"/>
        </w:rPr>
        <w:t>c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rora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consiliul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8B6FE7">
        <w:rPr>
          <w:rFonts w:ascii="Arial" w:hAnsi="Arial" w:cs="Arial"/>
          <w:sz w:val="24"/>
          <w:szCs w:val="24"/>
        </w:rPr>
        <w:t>poate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stabili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taxe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speciale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8B6FE7">
        <w:rPr>
          <w:rFonts w:ascii="Arial" w:hAnsi="Arial" w:cs="Arial"/>
          <w:sz w:val="24"/>
          <w:szCs w:val="24"/>
        </w:rPr>
        <w:t>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alte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taxe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locale;</w:t>
      </w:r>
    </w:p>
    <w:p w:rsidR="008B6FE7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6FE7">
        <w:rPr>
          <w:rFonts w:ascii="Arial" w:hAnsi="Arial" w:cs="Arial"/>
          <w:sz w:val="24"/>
          <w:szCs w:val="24"/>
        </w:rPr>
        <w:t xml:space="preserve">- art.489 conform </w:t>
      </w:r>
      <w:proofErr w:type="spellStart"/>
      <w:r w:rsidR="008B6FE7">
        <w:rPr>
          <w:rFonts w:ascii="Arial" w:hAnsi="Arial" w:cs="Arial"/>
          <w:sz w:val="24"/>
          <w:szCs w:val="24"/>
        </w:rPr>
        <w:t>c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ruia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B6FE7">
        <w:rPr>
          <w:rFonts w:ascii="Arial" w:hAnsi="Arial" w:cs="Arial"/>
          <w:sz w:val="24"/>
          <w:szCs w:val="24"/>
        </w:rPr>
        <w:t>Autoritatea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deliberativ</w:t>
      </w:r>
      <w:r w:rsidR="00A826AD">
        <w:rPr>
          <w:rFonts w:ascii="Arial" w:hAnsi="Arial" w:cs="Arial"/>
          <w:sz w:val="24"/>
          <w:szCs w:val="24"/>
        </w:rPr>
        <w:t>ă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B6FE7">
        <w:rPr>
          <w:rFonts w:ascii="Arial" w:hAnsi="Arial" w:cs="Arial"/>
          <w:sz w:val="24"/>
          <w:szCs w:val="24"/>
        </w:rPr>
        <w:t>administratiei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publice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locale, la </w:t>
      </w:r>
      <w:proofErr w:type="spellStart"/>
      <w:r w:rsidR="008B6FE7">
        <w:rPr>
          <w:rFonts w:ascii="Arial" w:hAnsi="Arial" w:cs="Arial"/>
          <w:sz w:val="24"/>
          <w:szCs w:val="24"/>
        </w:rPr>
        <w:t>propunerea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autorit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tii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executive, </w:t>
      </w:r>
      <w:proofErr w:type="spellStart"/>
      <w:r w:rsidR="008B6FE7">
        <w:rPr>
          <w:rFonts w:ascii="Arial" w:hAnsi="Arial" w:cs="Arial"/>
          <w:sz w:val="24"/>
          <w:szCs w:val="24"/>
        </w:rPr>
        <w:t>poate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stabili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cote </w:t>
      </w:r>
      <w:proofErr w:type="spellStart"/>
      <w:r w:rsidR="008B6FE7">
        <w:rPr>
          <w:rFonts w:ascii="Arial" w:hAnsi="Arial" w:cs="Arial"/>
          <w:sz w:val="24"/>
          <w:szCs w:val="24"/>
        </w:rPr>
        <w:t>adi</w:t>
      </w:r>
      <w:r w:rsidR="00A826AD">
        <w:rPr>
          <w:rFonts w:ascii="Arial" w:hAnsi="Arial" w:cs="Arial"/>
          <w:sz w:val="24"/>
          <w:szCs w:val="24"/>
        </w:rPr>
        <w:t>ţ</w:t>
      </w:r>
      <w:r w:rsidR="008B6FE7">
        <w:rPr>
          <w:rFonts w:ascii="Arial" w:hAnsi="Arial" w:cs="Arial"/>
          <w:sz w:val="24"/>
          <w:szCs w:val="24"/>
        </w:rPr>
        <w:t>ionale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B6FE7">
        <w:rPr>
          <w:rFonts w:ascii="Arial" w:hAnsi="Arial" w:cs="Arial"/>
          <w:sz w:val="24"/>
          <w:szCs w:val="24"/>
        </w:rPr>
        <w:t>impozitele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8B6FE7">
        <w:rPr>
          <w:rFonts w:ascii="Arial" w:hAnsi="Arial" w:cs="Arial"/>
          <w:sz w:val="24"/>
          <w:szCs w:val="24"/>
        </w:rPr>
        <w:t>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taxelel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locale </w:t>
      </w:r>
      <w:proofErr w:type="spellStart"/>
      <w:r w:rsidR="008B6FE7">
        <w:rPr>
          <w:rFonts w:ascii="Arial" w:hAnsi="Arial" w:cs="Arial"/>
          <w:sz w:val="24"/>
          <w:szCs w:val="24"/>
        </w:rPr>
        <w:t>prev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zute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 w:rsidR="008B6FE7">
        <w:rPr>
          <w:rFonts w:ascii="Arial" w:hAnsi="Arial" w:cs="Arial"/>
          <w:sz w:val="24"/>
          <w:szCs w:val="24"/>
        </w:rPr>
        <w:t>n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prezentul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titlu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26AD">
        <w:rPr>
          <w:rFonts w:ascii="Arial" w:hAnsi="Arial" w:cs="Arial"/>
          <w:sz w:val="24"/>
          <w:szCs w:val="24"/>
        </w:rPr>
        <w:t>î</w:t>
      </w:r>
      <w:r w:rsidR="008B6FE7">
        <w:rPr>
          <w:rFonts w:ascii="Arial" w:hAnsi="Arial" w:cs="Arial"/>
          <w:sz w:val="24"/>
          <w:szCs w:val="24"/>
        </w:rPr>
        <w:t>n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func</w:t>
      </w:r>
      <w:r w:rsidR="00A826AD">
        <w:rPr>
          <w:rFonts w:ascii="Arial" w:hAnsi="Arial" w:cs="Arial"/>
          <w:sz w:val="24"/>
          <w:szCs w:val="24"/>
        </w:rPr>
        <w:t>ţ</w:t>
      </w:r>
      <w:r w:rsidR="008B6FE7">
        <w:rPr>
          <w:rFonts w:ascii="Arial" w:hAnsi="Arial" w:cs="Arial"/>
          <w:sz w:val="24"/>
          <w:szCs w:val="24"/>
        </w:rPr>
        <w:t>ie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urm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toarele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criterii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B6FE7">
        <w:rPr>
          <w:rFonts w:ascii="Arial" w:hAnsi="Arial" w:cs="Arial"/>
          <w:sz w:val="24"/>
          <w:szCs w:val="24"/>
        </w:rPr>
        <w:t>economice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FE7">
        <w:rPr>
          <w:rFonts w:ascii="Arial" w:hAnsi="Arial" w:cs="Arial"/>
          <w:sz w:val="24"/>
          <w:szCs w:val="24"/>
        </w:rPr>
        <w:t>sociale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FE7">
        <w:rPr>
          <w:rFonts w:ascii="Arial" w:hAnsi="Arial" w:cs="Arial"/>
          <w:sz w:val="24"/>
          <w:szCs w:val="24"/>
        </w:rPr>
        <w:t>geografice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8B6FE7">
        <w:rPr>
          <w:rFonts w:ascii="Arial" w:hAnsi="Arial" w:cs="Arial"/>
          <w:sz w:val="24"/>
          <w:szCs w:val="24"/>
        </w:rPr>
        <w:t>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necesit</w:t>
      </w:r>
      <w:r w:rsidR="00A826AD">
        <w:rPr>
          <w:rFonts w:ascii="Arial" w:hAnsi="Arial" w:cs="Arial"/>
          <w:sz w:val="24"/>
          <w:szCs w:val="24"/>
        </w:rPr>
        <w:t>ăţ</w:t>
      </w:r>
      <w:r w:rsidR="008B6FE7">
        <w:rPr>
          <w:rFonts w:ascii="Arial" w:hAnsi="Arial" w:cs="Arial"/>
          <w:sz w:val="24"/>
          <w:szCs w:val="24"/>
        </w:rPr>
        <w:t>ile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bugetare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locale”, cu </w:t>
      </w:r>
      <w:proofErr w:type="spellStart"/>
      <w:r w:rsidR="008B6FE7">
        <w:rPr>
          <w:rFonts w:ascii="Arial" w:hAnsi="Arial" w:cs="Arial"/>
          <w:sz w:val="24"/>
          <w:szCs w:val="24"/>
        </w:rPr>
        <w:t>excep</w:t>
      </w:r>
      <w:r w:rsidR="00A826AD">
        <w:rPr>
          <w:rFonts w:ascii="Arial" w:hAnsi="Arial" w:cs="Arial"/>
          <w:sz w:val="24"/>
          <w:szCs w:val="24"/>
        </w:rPr>
        <w:t>ţ</w:t>
      </w:r>
      <w:r w:rsidR="008B6FE7">
        <w:rPr>
          <w:rFonts w:ascii="Arial" w:hAnsi="Arial" w:cs="Arial"/>
          <w:sz w:val="24"/>
          <w:szCs w:val="24"/>
        </w:rPr>
        <w:t>ia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taxelor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judiciare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timbru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FE7">
        <w:rPr>
          <w:rFonts w:ascii="Arial" w:hAnsi="Arial" w:cs="Arial"/>
          <w:sz w:val="24"/>
          <w:szCs w:val="24"/>
        </w:rPr>
        <w:t>alte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taxe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timbru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prev</w:t>
      </w:r>
      <w:r w:rsidR="00A826AD">
        <w:rPr>
          <w:rFonts w:ascii="Arial" w:hAnsi="Arial" w:cs="Arial"/>
          <w:sz w:val="24"/>
          <w:szCs w:val="24"/>
        </w:rPr>
        <w:t>ă</w:t>
      </w:r>
      <w:r w:rsidR="008B6FE7">
        <w:rPr>
          <w:rFonts w:ascii="Arial" w:hAnsi="Arial" w:cs="Arial"/>
          <w:sz w:val="24"/>
          <w:szCs w:val="24"/>
        </w:rPr>
        <w:t>zute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lege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6AD">
        <w:rPr>
          <w:rFonts w:ascii="Arial" w:hAnsi="Arial" w:cs="Arial"/>
          <w:sz w:val="24"/>
          <w:szCs w:val="24"/>
        </w:rPr>
        <w:t>ş</w:t>
      </w:r>
      <w:r w:rsidR="008B6FE7">
        <w:rPr>
          <w:rFonts w:ascii="Arial" w:hAnsi="Arial" w:cs="Arial"/>
          <w:sz w:val="24"/>
          <w:szCs w:val="24"/>
        </w:rPr>
        <w:t>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taxele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extrajudiciare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timbru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FE7">
        <w:rPr>
          <w:rFonts w:ascii="Arial" w:hAnsi="Arial" w:cs="Arial"/>
          <w:sz w:val="24"/>
          <w:szCs w:val="24"/>
        </w:rPr>
        <w:t>exclusiv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contravaloarea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cheltuielilor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efectuate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B6FE7">
        <w:rPr>
          <w:rFonts w:ascii="Arial" w:hAnsi="Arial" w:cs="Arial"/>
          <w:sz w:val="24"/>
          <w:szCs w:val="24"/>
        </w:rPr>
        <w:t>difuzarea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timbrelor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fiscale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FE7">
        <w:rPr>
          <w:rFonts w:ascii="Arial" w:hAnsi="Arial" w:cs="Arial"/>
          <w:sz w:val="24"/>
          <w:szCs w:val="24"/>
        </w:rPr>
        <w:t>iar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cotele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adi</w:t>
      </w:r>
      <w:r w:rsidR="00A826AD">
        <w:rPr>
          <w:rFonts w:ascii="Arial" w:hAnsi="Arial" w:cs="Arial"/>
          <w:sz w:val="24"/>
          <w:szCs w:val="24"/>
        </w:rPr>
        <w:t>ţ</w:t>
      </w:r>
      <w:r w:rsidR="008B6FE7">
        <w:rPr>
          <w:rFonts w:ascii="Arial" w:hAnsi="Arial" w:cs="Arial"/>
          <w:sz w:val="24"/>
          <w:szCs w:val="24"/>
        </w:rPr>
        <w:t>ionale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nu pot fi </w:t>
      </w:r>
      <w:proofErr w:type="spellStart"/>
      <w:r w:rsidR="008B6FE7">
        <w:rPr>
          <w:rFonts w:ascii="Arial" w:hAnsi="Arial" w:cs="Arial"/>
          <w:sz w:val="24"/>
          <w:szCs w:val="24"/>
        </w:rPr>
        <w:t>mai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mari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50% </w:t>
      </w:r>
      <w:proofErr w:type="spellStart"/>
      <w:r w:rsidR="008B6FE7">
        <w:rPr>
          <w:rFonts w:ascii="Arial" w:hAnsi="Arial" w:cs="Arial"/>
          <w:sz w:val="24"/>
          <w:szCs w:val="24"/>
        </w:rPr>
        <w:t>fa</w:t>
      </w:r>
      <w:r w:rsidR="002D1A70">
        <w:rPr>
          <w:rFonts w:ascii="Arial" w:hAnsi="Arial" w:cs="Arial"/>
          <w:sz w:val="24"/>
          <w:szCs w:val="24"/>
        </w:rPr>
        <w:t>ţă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FE7">
        <w:rPr>
          <w:rFonts w:ascii="Arial" w:hAnsi="Arial" w:cs="Arial"/>
          <w:sz w:val="24"/>
          <w:szCs w:val="24"/>
        </w:rPr>
        <w:t>nivelurile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maxime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stabilite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prin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FE7">
        <w:rPr>
          <w:rFonts w:ascii="Arial" w:hAnsi="Arial" w:cs="Arial"/>
          <w:sz w:val="24"/>
          <w:szCs w:val="24"/>
        </w:rPr>
        <w:t>Legea</w:t>
      </w:r>
      <w:proofErr w:type="spellEnd"/>
      <w:r w:rsidR="008B6FE7">
        <w:rPr>
          <w:rFonts w:ascii="Arial" w:hAnsi="Arial" w:cs="Arial"/>
          <w:sz w:val="24"/>
          <w:szCs w:val="24"/>
        </w:rPr>
        <w:t xml:space="preserve"> nr.227/</w:t>
      </w:r>
      <w:r>
        <w:rPr>
          <w:rFonts w:ascii="Arial" w:hAnsi="Arial" w:cs="Arial"/>
          <w:sz w:val="24"/>
          <w:szCs w:val="24"/>
        </w:rPr>
        <w:t xml:space="preserve">2015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fiscal;</w:t>
      </w: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- art.456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2), art.464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.(2), art.469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.(2), art.470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.(3), art.476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.(2), art.485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 xml:space="preserve">.(1) </w:t>
      </w:r>
      <w:proofErr w:type="spellStart"/>
      <w:r w:rsidR="002D1A70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art.487, conform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2D1A70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consiliul</w:t>
      </w:r>
      <w:proofErr w:type="spellEnd"/>
      <w:r>
        <w:rPr>
          <w:rFonts w:ascii="Arial" w:hAnsi="Arial" w:cs="Arial"/>
          <w:sz w:val="24"/>
          <w:szCs w:val="24"/>
        </w:rPr>
        <w:t xml:space="preserve"> local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acordarea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scutiri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reduceri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impozitelor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taxelor</w:t>
      </w:r>
      <w:proofErr w:type="spellEnd"/>
      <w:r>
        <w:rPr>
          <w:rFonts w:ascii="Arial" w:hAnsi="Arial" w:cs="Arial"/>
          <w:sz w:val="24"/>
          <w:szCs w:val="24"/>
        </w:rPr>
        <w:t xml:space="preserve"> locale.</w:t>
      </w: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Lu</w:t>
      </w:r>
      <w:r w:rsidR="002D1A70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considerare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articolelor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r w:rsidR="002D1A70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2018 o </w:t>
      </w:r>
      <w:proofErr w:type="spellStart"/>
      <w:r>
        <w:rPr>
          <w:rFonts w:ascii="Arial" w:hAnsi="Arial" w:cs="Arial"/>
          <w:sz w:val="24"/>
          <w:szCs w:val="24"/>
        </w:rPr>
        <w:t>majorare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taxelor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impozitelor</w:t>
      </w:r>
      <w:proofErr w:type="spellEnd"/>
      <w:r>
        <w:rPr>
          <w:rFonts w:ascii="Arial" w:hAnsi="Arial" w:cs="Arial"/>
          <w:sz w:val="24"/>
          <w:szCs w:val="24"/>
        </w:rPr>
        <w:t xml:space="preserve"> locale cu 20% (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2018  </w:t>
      </w:r>
      <w:proofErr w:type="spellStart"/>
      <w:r>
        <w:rPr>
          <w:rFonts w:ascii="Arial" w:hAnsi="Arial" w:cs="Arial"/>
          <w:sz w:val="24"/>
          <w:szCs w:val="24"/>
        </w:rPr>
        <w:t>impozitele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taxele</w:t>
      </w:r>
      <w:proofErr w:type="spellEnd"/>
      <w:r>
        <w:rPr>
          <w:rFonts w:ascii="Arial" w:hAnsi="Arial" w:cs="Arial"/>
          <w:sz w:val="24"/>
          <w:szCs w:val="24"/>
        </w:rPr>
        <w:t xml:space="preserve"> locale </w:t>
      </w:r>
      <w:proofErr w:type="spellStart"/>
      <w:r>
        <w:rPr>
          <w:rFonts w:ascii="Arial" w:hAnsi="Arial" w:cs="Arial"/>
          <w:sz w:val="24"/>
          <w:szCs w:val="24"/>
        </w:rPr>
        <w:t>prev</w:t>
      </w:r>
      <w:r w:rsidR="002D1A70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zute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</w:t>
      </w:r>
      <w:proofErr w:type="spellEnd"/>
      <w:r>
        <w:rPr>
          <w:rFonts w:ascii="Arial" w:hAnsi="Arial" w:cs="Arial"/>
          <w:sz w:val="24"/>
          <w:szCs w:val="24"/>
        </w:rPr>
        <w:t xml:space="preserve"> fixe nu se </w:t>
      </w:r>
      <w:proofErr w:type="spellStart"/>
      <w:r>
        <w:rPr>
          <w:rFonts w:ascii="Arial" w:hAnsi="Arial" w:cs="Arial"/>
          <w:sz w:val="24"/>
          <w:szCs w:val="24"/>
        </w:rPr>
        <w:t>majoreaza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</w:t>
      </w:r>
      <w:r w:rsidR="002D1A70">
        <w:rPr>
          <w:rFonts w:ascii="Arial" w:hAnsi="Arial" w:cs="Arial"/>
          <w:sz w:val="24"/>
          <w:szCs w:val="24"/>
        </w:rPr>
        <w:t>ţă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</w:t>
      </w:r>
      <w:r w:rsidR="002D1A70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zute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A70">
        <w:rPr>
          <w:rFonts w:ascii="Arial" w:hAnsi="Arial" w:cs="Arial"/>
          <w:sz w:val="24"/>
          <w:szCs w:val="24"/>
        </w:rPr>
        <w:t>î</w:t>
      </w:r>
      <w:r w:rsidR="00733020">
        <w:rPr>
          <w:rFonts w:ascii="Arial" w:hAnsi="Arial" w:cs="Arial"/>
          <w:sz w:val="24"/>
          <w:szCs w:val="24"/>
        </w:rPr>
        <w:t>n</w:t>
      </w:r>
      <w:proofErr w:type="spellEnd"/>
      <w:r w:rsidR="0073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020">
        <w:rPr>
          <w:rFonts w:ascii="Arial" w:hAnsi="Arial" w:cs="Arial"/>
          <w:sz w:val="24"/>
          <w:szCs w:val="24"/>
        </w:rPr>
        <w:t>Codul</w:t>
      </w:r>
      <w:proofErr w:type="spellEnd"/>
      <w:r w:rsidR="00733020">
        <w:rPr>
          <w:rFonts w:ascii="Arial" w:hAnsi="Arial" w:cs="Arial"/>
          <w:sz w:val="24"/>
          <w:szCs w:val="24"/>
        </w:rPr>
        <w:t xml:space="preserve"> fiscal</w:t>
      </w:r>
      <w:r>
        <w:rPr>
          <w:rFonts w:ascii="Arial" w:hAnsi="Arial" w:cs="Arial"/>
          <w:sz w:val="24"/>
          <w:szCs w:val="24"/>
        </w:rPr>
        <w:t>).</w:t>
      </w:r>
    </w:p>
    <w:p w:rsidR="00100610" w:rsidRDefault="0010061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Default="00B70E70" w:rsidP="00BA403A">
      <w:pPr>
        <w:tabs>
          <w:tab w:val="left" w:pos="13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0E70" w:rsidRPr="000851FD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Director </w:t>
      </w:r>
      <w:proofErr w:type="gramStart"/>
      <w:r>
        <w:rPr>
          <w:rFonts w:ascii="Arial" w:hAnsi="Arial" w:cs="Arial"/>
          <w:sz w:val="24"/>
          <w:szCs w:val="24"/>
        </w:rPr>
        <w:t xml:space="preserve">economic,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="002D1A70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ef</w:t>
      </w:r>
      <w:proofErr w:type="spellEnd"/>
      <w:r>
        <w:rPr>
          <w:rFonts w:ascii="Arial" w:hAnsi="Arial" w:cs="Arial"/>
          <w:sz w:val="24"/>
          <w:szCs w:val="24"/>
        </w:rPr>
        <w:t xml:space="preserve"> S.I.T.L.,</w:t>
      </w:r>
    </w:p>
    <w:p w:rsidR="00015D59" w:rsidRPr="000851FD" w:rsidRDefault="00B70E70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Ivan </w:t>
      </w:r>
      <w:proofErr w:type="spellStart"/>
      <w:r>
        <w:rPr>
          <w:rFonts w:ascii="Arial" w:hAnsi="Arial" w:cs="Arial"/>
          <w:sz w:val="24"/>
          <w:szCs w:val="24"/>
        </w:rPr>
        <w:t>Lumini</w:t>
      </w:r>
      <w:r w:rsidR="002D1A70">
        <w:rPr>
          <w:rFonts w:ascii="Arial" w:hAnsi="Arial" w:cs="Arial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Curt-</w:t>
      </w:r>
      <w:proofErr w:type="spellStart"/>
      <w:r>
        <w:rPr>
          <w:rFonts w:ascii="Arial" w:hAnsi="Arial" w:cs="Arial"/>
          <w:sz w:val="24"/>
          <w:szCs w:val="24"/>
        </w:rPr>
        <w:t>Veli</w:t>
      </w:r>
      <w:proofErr w:type="spellEnd"/>
      <w:r>
        <w:rPr>
          <w:rFonts w:ascii="Arial" w:hAnsi="Arial" w:cs="Arial"/>
          <w:sz w:val="24"/>
          <w:szCs w:val="24"/>
        </w:rPr>
        <w:t xml:space="preserve"> Laura                                                </w:t>
      </w: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5D59" w:rsidRPr="000851FD" w:rsidRDefault="00015D59" w:rsidP="000851FD">
      <w:pPr>
        <w:tabs>
          <w:tab w:val="left" w:pos="1365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015D59" w:rsidRPr="000851FD" w:rsidSect="00681092">
      <w:pgSz w:w="12240" w:h="15840"/>
      <w:pgMar w:top="54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092"/>
    <w:rsid w:val="00001476"/>
    <w:rsid w:val="0001099E"/>
    <w:rsid w:val="00015D59"/>
    <w:rsid w:val="000647CC"/>
    <w:rsid w:val="000851FD"/>
    <w:rsid w:val="000E50A1"/>
    <w:rsid w:val="00100610"/>
    <w:rsid w:val="001125E7"/>
    <w:rsid w:val="001A187C"/>
    <w:rsid w:val="001B5BA1"/>
    <w:rsid w:val="00295D01"/>
    <w:rsid w:val="002D1A70"/>
    <w:rsid w:val="00344022"/>
    <w:rsid w:val="00383C4D"/>
    <w:rsid w:val="00384738"/>
    <w:rsid w:val="003C7242"/>
    <w:rsid w:val="003E51B2"/>
    <w:rsid w:val="003E5BF1"/>
    <w:rsid w:val="00405437"/>
    <w:rsid w:val="00415146"/>
    <w:rsid w:val="00427726"/>
    <w:rsid w:val="004B23E0"/>
    <w:rsid w:val="0051134B"/>
    <w:rsid w:val="0053285B"/>
    <w:rsid w:val="0055492D"/>
    <w:rsid w:val="005A3BD2"/>
    <w:rsid w:val="00631128"/>
    <w:rsid w:val="00681092"/>
    <w:rsid w:val="007154B7"/>
    <w:rsid w:val="00733020"/>
    <w:rsid w:val="00740966"/>
    <w:rsid w:val="00783451"/>
    <w:rsid w:val="007A58F7"/>
    <w:rsid w:val="00867359"/>
    <w:rsid w:val="008B6FE7"/>
    <w:rsid w:val="008E0169"/>
    <w:rsid w:val="008E34E1"/>
    <w:rsid w:val="00973859"/>
    <w:rsid w:val="009951BD"/>
    <w:rsid w:val="0099607C"/>
    <w:rsid w:val="009F6B42"/>
    <w:rsid w:val="00A826AD"/>
    <w:rsid w:val="00B70E70"/>
    <w:rsid w:val="00BA403A"/>
    <w:rsid w:val="00BD49D4"/>
    <w:rsid w:val="00BD7865"/>
    <w:rsid w:val="00C01FEE"/>
    <w:rsid w:val="00C36135"/>
    <w:rsid w:val="00CB293D"/>
    <w:rsid w:val="00D12223"/>
    <w:rsid w:val="00D316E6"/>
    <w:rsid w:val="00D7115F"/>
    <w:rsid w:val="00E50268"/>
    <w:rsid w:val="00E657E5"/>
    <w:rsid w:val="00EA21FC"/>
    <w:rsid w:val="00EE4086"/>
    <w:rsid w:val="00F25087"/>
    <w:rsid w:val="00F638D6"/>
    <w:rsid w:val="00F870D6"/>
    <w:rsid w:val="00F9469F"/>
    <w:rsid w:val="00FB5489"/>
    <w:rsid w:val="00FD4AF8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2A160-5935-489F-A61E-23FD698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847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-medgidi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rimaria-medgidi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6D2E-F265-46AA-8557-91DD4366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LauraIT</dc:creator>
  <cp:keywords/>
  <dc:description/>
  <cp:lastModifiedBy>Gabriela Lucaci</cp:lastModifiedBy>
  <cp:revision>2</cp:revision>
  <cp:lastPrinted>2017-07-20T07:21:00Z</cp:lastPrinted>
  <dcterms:created xsi:type="dcterms:W3CDTF">2017-07-20T07:33:00Z</dcterms:created>
  <dcterms:modified xsi:type="dcterms:W3CDTF">2017-07-20T07:33:00Z</dcterms:modified>
</cp:coreProperties>
</file>